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72F66" w14:textId="77777777" w:rsidR="00C34109" w:rsidRPr="00DC6E18" w:rsidRDefault="00C34109" w:rsidP="00C34109">
      <w:pPr>
        <w:spacing w:after="120" w:line="240" w:lineRule="auto"/>
        <w:rPr>
          <w:rFonts w:eastAsiaTheme="minorEastAsia"/>
          <w:color w:val="4472C4"/>
          <w:sz w:val="28"/>
          <w:szCs w:val="28"/>
        </w:rPr>
      </w:pPr>
      <w:r w:rsidRPr="00DC6E18">
        <w:rPr>
          <w:rFonts w:eastAsiaTheme="minorEastAsia"/>
          <w:color w:val="4472C4"/>
          <w:sz w:val="28"/>
          <w:szCs w:val="28"/>
        </w:rPr>
        <w:t>IOM Mission – Somalia</w:t>
      </w:r>
    </w:p>
    <w:p w14:paraId="66824879" w14:textId="461A4D9C" w:rsidR="00C34109" w:rsidRPr="00DC6E18" w:rsidRDefault="00C34109" w:rsidP="397F7B31">
      <w:pPr>
        <w:spacing w:after="120" w:line="240" w:lineRule="auto"/>
        <w:rPr>
          <w:rFonts w:eastAsiaTheme="minorEastAsia"/>
          <w:color w:val="4472C4"/>
          <w:sz w:val="28"/>
          <w:szCs w:val="28"/>
        </w:rPr>
      </w:pPr>
      <w:r w:rsidRPr="397F7B31">
        <w:rPr>
          <w:rFonts w:eastAsiaTheme="minorEastAsia"/>
          <w:color w:val="4472C4"/>
          <w:sz w:val="28"/>
          <w:szCs w:val="28"/>
        </w:rPr>
        <w:t xml:space="preserve">IOM Call for Expression of Interest ID#: </w:t>
      </w:r>
      <w:r w:rsidR="00934903" w:rsidRPr="00934903">
        <w:rPr>
          <w:rFonts w:eastAsiaTheme="minorEastAsia"/>
          <w:color w:val="4472C4"/>
          <w:sz w:val="28"/>
          <w:szCs w:val="28"/>
        </w:rPr>
        <w:t>CEI_SOMGC-PIPELINE-0006-2024</w:t>
      </w:r>
    </w:p>
    <w:p w14:paraId="2F2343DE" w14:textId="77777777" w:rsidR="00C34109" w:rsidRPr="00DC6E18" w:rsidRDefault="00C34109" w:rsidP="397F7B31">
      <w:pPr>
        <w:spacing w:after="120" w:line="240" w:lineRule="auto"/>
        <w:jc w:val="center"/>
        <w:rPr>
          <w:rFonts w:eastAsiaTheme="minorEastAsia"/>
          <w:b/>
          <w:bCs/>
          <w:sz w:val="28"/>
          <w:szCs w:val="28"/>
        </w:rPr>
      </w:pPr>
      <w:r w:rsidRPr="397F7B31">
        <w:rPr>
          <w:rFonts w:eastAsiaTheme="minorEastAsia"/>
          <w:b/>
          <w:bCs/>
          <w:sz w:val="28"/>
          <w:szCs w:val="28"/>
        </w:rPr>
        <w:t>Terms of Reference</w:t>
      </w:r>
    </w:p>
    <w:p w14:paraId="76EF636D" w14:textId="77777777" w:rsidR="00C34109" w:rsidRPr="00DC6E18" w:rsidRDefault="00C34109" w:rsidP="00C34109">
      <w:pPr>
        <w:spacing w:after="120" w:line="240" w:lineRule="auto"/>
        <w:jc w:val="center"/>
        <w:rPr>
          <w:rFonts w:eastAsiaTheme="minorEastAsia"/>
          <w:b/>
          <w:bCs/>
        </w:rPr>
      </w:pPr>
      <w:r w:rsidRPr="00DC6E18">
        <w:rPr>
          <w:rFonts w:eastAsiaTheme="minorEastAsia"/>
          <w:b/>
          <w:bCs/>
        </w:rPr>
        <w:t xml:space="preserve"> </w:t>
      </w:r>
    </w:p>
    <w:tbl>
      <w:tblPr>
        <w:tblStyle w:val="TableGrid"/>
        <w:tblW w:w="9105" w:type="dxa"/>
        <w:jc w:val="center"/>
        <w:tblLayout w:type="fixed"/>
        <w:tblLook w:val="04A0" w:firstRow="1" w:lastRow="0" w:firstColumn="1" w:lastColumn="0" w:noHBand="0" w:noVBand="1"/>
      </w:tblPr>
      <w:tblGrid>
        <w:gridCol w:w="9105"/>
      </w:tblGrid>
      <w:tr w:rsidR="00C34109" w:rsidRPr="00DC6E18" w14:paraId="4A8E6571" w14:textId="77777777" w:rsidTr="397F7B31">
        <w:trPr>
          <w:jc w:val="center"/>
        </w:trPr>
        <w:tc>
          <w:tcPr>
            <w:tcW w:w="9105" w:type="dxa"/>
            <w:tcBorders>
              <w:top w:val="single" w:sz="8" w:space="0" w:color="auto"/>
              <w:left w:val="single" w:sz="8" w:space="0" w:color="auto"/>
              <w:bottom w:val="single" w:sz="8" w:space="0" w:color="auto"/>
              <w:right w:val="single" w:sz="8" w:space="0" w:color="auto"/>
            </w:tcBorders>
          </w:tcPr>
          <w:p w14:paraId="58C64D40" w14:textId="77777777" w:rsidR="00C34109" w:rsidRPr="00DC6E18" w:rsidRDefault="00C34109" w:rsidP="00E7453D">
            <w:pPr>
              <w:spacing w:after="120"/>
              <w:rPr>
                <w:rFonts w:eastAsiaTheme="minorEastAsia"/>
                <w:b/>
                <w:bCs/>
              </w:rPr>
            </w:pPr>
            <w:r w:rsidRPr="00DC6E18">
              <w:rPr>
                <w:rFonts w:eastAsiaTheme="minorEastAsia"/>
                <w:b/>
                <w:bCs/>
              </w:rPr>
              <w:t>Context</w:t>
            </w:r>
          </w:p>
        </w:tc>
      </w:tr>
      <w:tr w:rsidR="00C34109" w:rsidRPr="00DC6E18" w14:paraId="69142EB6" w14:textId="77777777" w:rsidTr="397F7B31">
        <w:trPr>
          <w:trHeight w:val="450"/>
          <w:jc w:val="center"/>
        </w:trPr>
        <w:tc>
          <w:tcPr>
            <w:tcW w:w="9105" w:type="dxa"/>
            <w:tcBorders>
              <w:top w:val="single" w:sz="8" w:space="0" w:color="auto"/>
              <w:left w:val="single" w:sz="8" w:space="0" w:color="auto"/>
              <w:bottom w:val="single" w:sz="8" w:space="0" w:color="auto"/>
              <w:right w:val="single" w:sz="8" w:space="0" w:color="auto"/>
            </w:tcBorders>
          </w:tcPr>
          <w:p w14:paraId="53D68E0B" w14:textId="77777777" w:rsidR="00C34109" w:rsidRPr="00DC6E18" w:rsidRDefault="00C34109" w:rsidP="00E7453D">
            <w:pPr>
              <w:spacing w:after="120"/>
              <w:jc w:val="both"/>
              <w:rPr>
                <w:rFonts w:eastAsiaTheme="minorEastAsia"/>
              </w:rPr>
            </w:pPr>
            <w:r w:rsidRPr="00DC6E18">
              <w:rPr>
                <w:rFonts w:eastAsia="Calibri" w:cs="Calibri"/>
              </w:rPr>
              <w:t xml:space="preserve">Somalia is facing one of the most complex and longstanding humanitarian crises in the world. Decades of poverty, marginalization, armed violence, insecurity, political instability, natural hazards, and poor access to basic services and livelihood opportunities have devastated the lives of millions of people. Recurrent climatic shocks, such as drought and flooding, drive thousands of people out of their homes each year. Ongoing conflicts affect protection and human rights, reduce resilience, and further hinder access to basic services. </w:t>
            </w:r>
          </w:p>
        </w:tc>
      </w:tr>
      <w:tr w:rsidR="00C34109" w:rsidRPr="00DC6E18" w14:paraId="26B40399" w14:textId="77777777" w:rsidTr="397F7B31">
        <w:trPr>
          <w:jc w:val="center"/>
        </w:trPr>
        <w:tc>
          <w:tcPr>
            <w:tcW w:w="9105" w:type="dxa"/>
            <w:tcBorders>
              <w:top w:val="single" w:sz="8" w:space="0" w:color="auto"/>
              <w:left w:val="single" w:sz="8" w:space="0" w:color="auto"/>
              <w:bottom w:val="single" w:sz="8" w:space="0" w:color="auto"/>
              <w:right w:val="single" w:sz="8" w:space="0" w:color="auto"/>
            </w:tcBorders>
          </w:tcPr>
          <w:p w14:paraId="4650D97A" w14:textId="77777777" w:rsidR="00C34109" w:rsidRPr="00DC6E18" w:rsidRDefault="00C34109" w:rsidP="00E7453D">
            <w:pPr>
              <w:spacing w:after="120"/>
              <w:rPr>
                <w:rFonts w:eastAsiaTheme="minorEastAsia"/>
                <w:b/>
                <w:bCs/>
              </w:rPr>
            </w:pPr>
            <w:r w:rsidRPr="00DC6E18">
              <w:rPr>
                <w:rFonts w:eastAsiaTheme="minorEastAsia"/>
                <w:b/>
                <w:bCs/>
              </w:rPr>
              <w:t>Common Pipeline Background</w:t>
            </w:r>
          </w:p>
        </w:tc>
      </w:tr>
      <w:tr w:rsidR="00C34109" w:rsidRPr="00DC6E18" w14:paraId="4FE9A5E5" w14:textId="77777777" w:rsidTr="397F7B31">
        <w:trPr>
          <w:trHeight w:val="495"/>
          <w:jc w:val="center"/>
        </w:trPr>
        <w:tc>
          <w:tcPr>
            <w:tcW w:w="9105" w:type="dxa"/>
            <w:tcBorders>
              <w:top w:val="single" w:sz="8" w:space="0" w:color="auto"/>
              <w:left w:val="single" w:sz="8" w:space="0" w:color="auto"/>
              <w:bottom w:val="single" w:sz="8" w:space="0" w:color="auto"/>
              <w:right w:val="single" w:sz="8" w:space="0" w:color="auto"/>
            </w:tcBorders>
          </w:tcPr>
          <w:p w14:paraId="4CDA8AEA" w14:textId="5EF94972" w:rsidR="00C34109" w:rsidRPr="00DC6E18" w:rsidRDefault="00C34109" w:rsidP="00934903">
            <w:pPr>
              <w:jc w:val="both"/>
              <w:rPr>
                <w:rFonts w:eastAsia="Calibri" w:cs="Calibri"/>
              </w:rPr>
            </w:pPr>
            <w:r w:rsidRPr="397F7B31">
              <w:rPr>
                <w:rFonts w:eastAsia="Calibri" w:cs="Calibri"/>
              </w:rPr>
              <w:t>Established in March 2023 with the support of USAID-BHA, JAPAN, and ECHO, the Somalia CP serves as a vital mechanism for delivering emergency shelter materials to populations affected by disasters and conflicts across Somalia. The program plays a critical role in supporting the SNFI Cluster's efforts to provide timely and effective humanitarian assistance, between 2023 and Mid 2024, the program has reached over a million of crisis (conflict, drought, floods, and fire incidents) affected populations within the country.</w:t>
            </w:r>
          </w:p>
          <w:p w14:paraId="7710190F" w14:textId="77777777" w:rsidR="00C34109" w:rsidRPr="00DC6E18" w:rsidRDefault="00C34109" w:rsidP="00E7453D">
            <w:pPr>
              <w:spacing w:after="0" w:line="240" w:lineRule="auto"/>
              <w:jc w:val="both"/>
              <w:rPr>
                <w:rFonts w:eastAsia="Calibri" w:cs="Calibri"/>
              </w:rPr>
            </w:pPr>
            <w:r w:rsidRPr="397F7B31">
              <w:rPr>
                <w:rFonts w:eastAsia="Calibri" w:cs="Calibri"/>
              </w:rPr>
              <w:t>This Expression of Interest aims to identify and establish partnerships with qualified organizations that possess the capacity and experience to contribute to the success of the Somalia CP program. Selected partners will work collaboratively with IOM and the SNFI Cluster to:</w:t>
            </w:r>
          </w:p>
          <w:p w14:paraId="3F9E3D6D" w14:textId="77777777" w:rsidR="00C34109" w:rsidRPr="00DC6E18" w:rsidRDefault="00C34109" w:rsidP="00E7453D">
            <w:pPr>
              <w:pStyle w:val="ListParagraph"/>
              <w:numPr>
                <w:ilvl w:val="0"/>
                <w:numId w:val="3"/>
              </w:numPr>
              <w:spacing w:after="0" w:line="240" w:lineRule="auto"/>
              <w:jc w:val="both"/>
              <w:rPr>
                <w:rFonts w:eastAsia="Calibri" w:cs="Calibri"/>
              </w:rPr>
            </w:pPr>
            <w:r w:rsidRPr="00DC6E18">
              <w:rPr>
                <w:rFonts w:eastAsia="Calibri" w:cs="Calibri"/>
              </w:rPr>
              <w:t>Enhance geographical reach and ensure access to emergency shelter materials in underserved areas.</w:t>
            </w:r>
          </w:p>
          <w:p w14:paraId="34A74482" w14:textId="1C8372C2" w:rsidR="00C34109" w:rsidRPr="00DC6E18" w:rsidRDefault="00C34109" w:rsidP="00E7453D">
            <w:pPr>
              <w:pStyle w:val="ListParagraph"/>
              <w:numPr>
                <w:ilvl w:val="0"/>
                <w:numId w:val="3"/>
              </w:numPr>
              <w:spacing w:after="0" w:line="240" w:lineRule="auto"/>
              <w:jc w:val="both"/>
              <w:rPr>
                <w:rFonts w:eastAsia="Calibri" w:cs="Calibri"/>
              </w:rPr>
            </w:pPr>
            <w:r w:rsidRPr="397F7B31">
              <w:rPr>
                <w:rFonts w:eastAsia="Calibri" w:cs="Calibri"/>
              </w:rPr>
              <w:t>Supply high-quality plastic sheets and shelter materials with a longer lifespan to organizations on the ground, supporting shelter solutions for displaced communities during emergencies.</w:t>
            </w:r>
          </w:p>
          <w:p w14:paraId="385F496E" w14:textId="77777777" w:rsidR="00C34109" w:rsidRDefault="00C34109" w:rsidP="00E7453D">
            <w:pPr>
              <w:pStyle w:val="ListParagraph"/>
              <w:numPr>
                <w:ilvl w:val="0"/>
                <w:numId w:val="3"/>
              </w:numPr>
              <w:spacing w:after="0" w:line="240" w:lineRule="auto"/>
              <w:jc w:val="both"/>
              <w:rPr>
                <w:rFonts w:eastAsia="Calibri" w:cs="Calibri"/>
              </w:rPr>
            </w:pPr>
            <w:r w:rsidRPr="00DC6E18">
              <w:rPr>
                <w:rFonts w:eastAsia="Calibri" w:cs="Calibri"/>
              </w:rPr>
              <w:t>Strengthen the overall quality and effectiveness of the SNFI Cluster's response to emergency shelter needs.</w:t>
            </w:r>
          </w:p>
          <w:p w14:paraId="0FFBF4C3" w14:textId="690FE46C" w:rsidR="00AB4D40" w:rsidRPr="00934903" w:rsidRDefault="00AB4D40" w:rsidP="00934903">
            <w:pPr>
              <w:spacing w:after="0" w:line="240" w:lineRule="auto"/>
              <w:ind w:left="360"/>
              <w:jc w:val="both"/>
              <w:rPr>
                <w:rFonts w:eastAsia="Calibri" w:cs="Calibri"/>
              </w:rPr>
            </w:pPr>
          </w:p>
        </w:tc>
      </w:tr>
      <w:tr w:rsidR="00C34109" w:rsidRPr="00DC6E18" w14:paraId="5468C9FB" w14:textId="77777777" w:rsidTr="397F7B31">
        <w:trPr>
          <w:jc w:val="center"/>
        </w:trPr>
        <w:tc>
          <w:tcPr>
            <w:tcW w:w="9105" w:type="dxa"/>
            <w:tcBorders>
              <w:top w:val="single" w:sz="8" w:space="0" w:color="auto"/>
              <w:left w:val="single" w:sz="8" w:space="0" w:color="auto"/>
              <w:bottom w:val="single" w:sz="8" w:space="0" w:color="auto"/>
              <w:right w:val="single" w:sz="8" w:space="0" w:color="auto"/>
            </w:tcBorders>
          </w:tcPr>
          <w:p w14:paraId="518E1FDA" w14:textId="77777777" w:rsidR="00C34109" w:rsidRPr="00DC6E18" w:rsidRDefault="00C34109" w:rsidP="00E7453D">
            <w:pPr>
              <w:spacing w:after="120"/>
              <w:rPr>
                <w:rFonts w:eastAsiaTheme="minorEastAsia"/>
                <w:b/>
                <w:bCs/>
              </w:rPr>
            </w:pPr>
            <w:r w:rsidRPr="00DC6E18">
              <w:rPr>
                <w:rFonts w:eastAsiaTheme="minorEastAsia"/>
                <w:b/>
                <w:bCs/>
              </w:rPr>
              <w:t>Expected Output</w:t>
            </w:r>
          </w:p>
        </w:tc>
      </w:tr>
      <w:tr w:rsidR="00C34109" w:rsidRPr="00DC6E18" w14:paraId="1FA1570A" w14:textId="77777777" w:rsidTr="397F7B31">
        <w:trPr>
          <w:trHeight w:val="555"/>
          <w:jc w:val="center"/>
        </w:trPr>
        <w:tc>
          <w:tcPr>
            <w:tcW w:w="9105" w:type="dxa"/>
            <w:tcBorders>
              <w:top w:val="single" w:sz="8" w:space="0" w:color="auto"/>
              <w:left w:val="single" w:sz="8" w:space="0" w:color="auto"/>
              <w:bottom w:val="single" w:sz="8" w:space="0" w:color="auto"/>
              <w:right w:val="single" w:sz="8" w:space="0" w:color="auto"/>
            </w:tcBorders>
          </w:tcPr>
          <w:p w14:paraId="53198F94" w14:textId="77777777" w:rsidR="00C34109" w:rsidRPr="00DC6E18" w:rsidRDefault="00C34109" w:rsidP="00E7453D">
            <w:pPr>
              <w:spacing w:after="0" w:line="240" w:lineRule="auto"/>
              <w:jc w:val="both"/>
              <w:rPr>
                <w:rFonts w:eastAsia="Calibri" w:cs="Calibri"/>
              </w:rPr>
            </w:pPr>
            <w:r w:rsidRPr="397F7B31">
              <w:rPr>
                <w:rFonts w:eastAsia="Calibri" w:cs="Calibri"/>
              </w:rPr>
              <w:t xml:space="preserve">Common Pipeline is seeking Shelter and Non-Food Items implementing partner for emergency shelter assistance response in Somalia to support: </w:t>
            </w:r>
          </w:p>
          <w:p w14:paraId="16A6021A" w14:textId="77777777" w:rsidR="00C34109" w:rsidRPr="00DC6E18" w:rsidRDefault="00C34109" w:rsidP="00E7453D">
            <w:pPr>
              <w:pStyle w:val="ListParagraph"/>
              <w:widowControl/>
              <w:numPr>
                <w:ilvl w:val="0"/>
                <w:numId w:val="1"/>
              </w:numPr>
              <w:spacing w:after="0" w:line="240" w:lineRule="auto"/>
              <w:jc w:val="both"/>
              <w:rPr>
                <w:rFonts w:eastAsia="Calibri" w:cs="Calibri"/>
              </w:rPr>
            </w:pPr>
            <w:r w:rsidRPr="00DC6E18">
              <w:rPr>
                <w:rFonts w:eastAsia="Calibri" w:cs="Calibri"/>
              </w:rPr>
              <w:t>Identification of SNFI gaps and needs in the country through assessment and coordination</w:t>
            </w:r>
          </w:p>
          <w:p w14:paraId="79AB510B" w14:textId="7F28A838" w:rsidR="00C34109" w:rsidRPr="00DC6E18" w:rsidRDefault="00C34109" w:rsidP="00E7453D">
            <w:pPr>
              <w:pStyle w:val="ListParagraph"/>
              <w:widowControl/>
              <w:numPr>
                <w:ilvl w:val="0"/>
                <w:numId w:val="1"/>
              </w:numPr>
              <w:spacing w:after="0" w:line="240" w:lineRule="auto"/>
              <w:jc w:val="both"/>
              <w:rPr>
                <w:rFonts w:eastAsia="Calibri" w:cs="Calibri"/>
              </w:rPr>
            </w:pPr>
            <w:r w:rsidRPr="397F7B31">
              <w:rPr>
                <w:rFonts w:eastAsia="Calibri" w:cs="Calibri"/>
              </w:rPr>
              <w:t>Identification of people in need and registration through community-based coordination</w:t>
            </w:r>
            <w:r w:rsidR="009E0ED7">
              <w:t xml:space="preserve"> and </w:t>
            </w:r>
            <w:r w:rsidR="00934903">
              <w:rPr>
                <w:rFonts w:eastAsia="Calibri" w:cs="Calibri"/>
              </w:rPr>
              <w:t>f</w:t>
            </w:r>
            <w:r w:rsidR="009E0ED7" w:rsidRPr="397F7B31">
              <w:rPr>
                <w:rFonts w:eastAsia="Calibri" w:cs="Calibri"/>
              </w:rPr>
              <w:t>acilitate the identification and registration of individuals and families in need of assistance through community-based coordination. Engaging local communities in this process will help ensure that aid is directed to the most vulnerable populations.</w:t>
            </w:r>
          </w:p>
          <w:p w14:paraId="0EC48CFB" w14:textId="55CA7816" w:rsidR="00C34109" w:rsidRPr="00DC6E18" w:rsidRDefault="00C34109" w:rsidP="00E7453D">
            <w:pPr>
              <w:pStyle w:val="ListParagraph"/>
              <w:widowControl/>
              <w:numPr>
                <w:ilvl w:val="0"/>
                <w:numId w:val="1"/>
              </w:numPr>
              <w:spacing w:after="0" w:line="240" w:lineRule="auto"/>
              <w:jc w:val="both"/>
              <w:rPr>
                <w:rFonts w:eastAsia="Calibri" w:cs="Calibri"/>
              </w:rPr>
            </w:pPr>
            <w:r w:rsidRPr="397F7B31">
              <w:rPr>
                <w:rFonts w:eastAsia="Calibri" w:cs="Calibri"/>
              </w:rPr>
              <w:lastRenderedPageBreak/>
              <w:t>Distribute SNFI items</w:t>
            </w:r>
            <w:r w:rsidR="00673061" w:rsidRPr="397F7B31">
              <w:rPr>
                <w:rFonts w:eastAsia="Calibri" w:cs="Calibri"/>
              </w:rPr>
              <w:t>: Implement best practices for the distribution of shelter and non-food items to registered and verified individuals in need. This will involve careful planning and implementation to ensure that resources are allocated efficiently and fairly.</w:t>
            </w:r>
            <w:r w:rsidR="009E0ED7" w:rsidRPr="397F7B31">
              <w:rPr>
                <w:rFonts w:eastAsia="Calibri" w:cs="Calibri"/>
              </w:rPr>
              <w:t xml:space="preserve"> </w:t>
            </w:r>
            <w:r w:rsidRPr="397F7B31">
              <w:rPr>
                <w:rFonts w:eastAsia="Calibri" w:cs="Calibri"/>
              </w:rPr>
              <w:t>Camp based plastic sheet fixing and identification of the most significant changes among the households</w:t>
            </w:r>
            <w:r w:rsidR="00A403FE" w:rsidRPr="397F7B31">
              <w:rPr>
                <w:rFonts w:eastAsia="Calibri" w:cs="Calibri"/>
              </w:rPr>
              <w:t xml:space="preserve"> which including but not limited to </w:t>
            </w:r>
            <w:r w:rsidR="00A403FE" w:rsidRPr="397F7B31">
              <w:rPr>
                <w:rFonts w:ascii="Calibri" w:eastAsia="Calibri" w:hAnsi="Calibri" w:cs="Calibri"/>
                <w:color w:val="000000" w:themeColor="text1"/>
              </w:rPr>
              <w:t>Provide support for the installation of plastic sheets in temporary camps, helping to improve living conditions for displaced households. Additionally, the program will focus on identifying and measuring the most significant changes in the wellbeing of these households over time</w:t>
            </w:r>
          </w:p>
          <w:p w14:paraId="25614503" w14:textId="5FC0B819" w:rsidR="00C34109" w:rsidRPr="00DC6E18" w:rsidRDefault="00C34109" w:rsidP="00E7453D">
            <w:pPr>
              <w:pStyle w:val="ListParagraph"/>
              <w:widowControl/>
              <w:numPr>
                <w:ilvl w:val="0"/>
                <w:numId w:val="1"/>
              </w:numPr>
              <w:spacing w:after="0" w:line="240" w:lineRule="auto"/>
              <w:jc w:val="both"/>
              <w:rPr>
                <w:rFonts w:eastAsia="Calibri" w:cs="Calibri"/>
              </w:rPr>
            </w:pPr>
            <w:r w:rsidRPr="397F7B31">
              <w:rPr>
                <w:rFonts w:eastAsia="Calibri" w:cs="Calibri"/>
              </w:rPr>
              <w:t xml:space="preserve">Collection of data on </w:t>
            </w:r>
            <w:r w:rsidR="00E41272" w:rsidRPr="397F7B31">
              <w:rPr>
                <w:rFonts w:eastAsia="Calibri" w:cs="Calibri"/>
              </w:rPr>
              <w:t>pipeline related distribution, including post-distribution monitoring and technical assessments of the shelter and non-food items provided. This information will be critical for evaluating the effectiveness of the program and for making informed decisions regarding future interventions.</w:t>
            </w:r>
          </w:p>
        </w:tc>
      </w:tr>
      <w:tr w:rsidR="00C34109" w:rsidRPr="00DC6E18" w14:paraId="6723F4CC" w14:textId="77777777" w:rsidTr="397F7B31">
        <w:trPr>
          <w:trHeight w:val="322"/>
          <w:jc w:val="center"/>
        </w:trPr>
        <w:tc>
          <w:tcPr>
            <w:tcW w:w="9105" w:type="dxa"/>
            <w:tcBorders>
              <w:top w:val="single" w:sz="8" w:space="0" w:color="auto"/>
              <w:left w:val="single" w:sz="8" w:space="0" w:color="auto"/>
              <w:bottom w:val="single" w:sz="8" w:space="0" w:color="auto"/>
              <w:right w:val="single" w:sz="8" w:space="0" w:color="auto"/>
            </w:tcBorders>
          </w:tcPr>
          <w:p w14:paraId="0B94D109" w14:textId="77777777" w:rsidR="00C34109" w:rsidRPr="00DC6E18" w:rsidRDefault="00C34109" w:rsidP="00E7453D">
            <w:pPr>
              <w:spacing w:after="0" w:line="240" w:lineRule="auto"/>
              <w:jc w:val="both"/>
              <w:rPr>
                <w:rFonts w:eastAsiaTheme="minorEastAsia"/>
              </w:rPr>
            </w:pPr>
            <w:r w:rsidRPr="00DC6E18">
              <w:rPr>
                <w:rFonts w:eastAsiaTheme="minorEastAsia"/>
                <w:b/>
                <w:bCs/>
              </w:rPr>
              <w:lastRenderedPageBreak/>
              <w:t>Submission of the project proposal</w:t>
            </w:r>
          </w:p>
        </w:tc>
      </w:tr>
      <w:tr w:rsidR="00C34109" w:rsidRPr="00DC6E18" w14:paraId="67BEA6F2" w14:textId="77777777" w:rsidTr="397F7B31">
        <w:trPr>
          <w:trHeight w:val="555"/>
          <w:jc w:val="center"/>
        </w:trPr>
        <w:tc>
          <w:tcPr>
            <w:tcW w:w="9105" w:type="dxa"/>
            <w:tcBorders>
              <w:top w:val="single" w:sz="8" w:space="0" w:color="auto"/>
              <w:left w:val="single" w:sz="8" w:space="0" w:color="auto"/>
              <w:bottom w:val="single" w:sz="8" w:space="0" w:color="auto"/>
              <w:right w:val="single" w:sz="8" w:space="0" w:color="auto"/>
            </w:tcBorders>
          </w:tcPr>
          <w:p w14:paraId="69732E98" w14:textId="77777777" w:rsidR="00C34109" w:rsidRPr="00DC6E18" w:rsidRDefault="00C34109" w:rsidP="397F7B31">
            <w:pPr>
              <w:jc w:val="both"/>
              <w:rPr>
                <w:rFonts w:eastAsiaTheme="minorEastAsia"/>
              </w:rPr>
            </w:pPr>
            <w:r w:rsidRPr="397F7B31">
              <w:rPr>
                <w:rFonts w:eastAsiaTheme="minorEastAsia"/>
              </w:rPr>
              <w:t>The Common Pipeline proposal would be as per identified crisis event within the country which could be triggered by SNFI cluster, or the Area Based Coordination (ABC) and Operational Cell (OC), or partners’ joint assessment, and or governments appeal.</w:t>
            </w:r>
          </w:p>
          <w:p w14:paraId="02CF5A0F" w14:textId="32B9B5D4" w:rsidR="00C34109" w:rsidRPr="00DC6E18" w:rsidRDefault="00C34109" w:rsidP="397F7B31">
            <w:pPr>
              <w:spacing w:after="0" w:line="240" w:lineRule="auto"/>
              <w:jc w:val="both"/>
              <w:rPr>
                <w:rFonts w:eastAsiaTheme="minorEastAsia"/>
              </w:rPr>
            </w:pPr>
            <w:r w:rsidRPr="397F7B31">
              <w:rPr>
                <w:rFonts w:eastAsiaTheme="minorEastAsia"/>
              </w:rPr>
              <w:t>Qualified and Verified partner will be contracted through a framework agreement with a stipulated period. Each identified gaps and need will be followed by several annexes indicating needs, cost, and approaches (including work plan). The common Pipeline will issue a distribution order (DO) as a means of authorization for proposed assistance.</w:t>
            </w:r>
          </w:p>
        </w:tc>
      </w:tr>
      <w:tr w:rsidR="00C34109" w:rsidRPr="00DC6E18" w14:paraId="59874601" w14:textId="77777777" w:rsidTr="397F7B31">
        <w:trPr>
          <w:jc w:val="center"/>
        </w:trPr>
        <w:tc>
          <w:tcPr>
            <w:tcW w:w="9105" w:type="dxa"/>
            <w:tcBorders>
              <w:top w:val="single" w:sz="8" w:space="0" w:color="auto"/>
              <w:left w:val="single" w:sz="8" w:space="0" w:color="auto"/>
              <w:bottom w:val="single" w:sz="8" w:space="0" w:color="auto"/>
              <w:right w:val="single" w:sz="8" w:space="0" w:color="auto"/>
            </w:tcBorders>
          </w:tcPr>
          <w:p w14:paraId="18178648" w14:textId="77777777" w:rsidR="00C34109" w:rsidRPr="00DC6E18" w:rsidRDefault="00C34109" w:rsidP="397F7B31">
            <w:pPr>
              <w:spacing w:after="120"/>
              <w:rPr>
                <w:rFonts w:eastAsiaTheme="minorEastAsia"/>
                <w:b/>
                <w:bCs/>
              </w:rPr>
            </w:pPr>
            <w:r w:rsidRPr="397F7B31">
              <w:rPr>
                <w:rFonts w:eastAsiaTheme="minorEastAsia"/>
                <w:b/>
                <w:bCs/>
              </w:rPr>
              <w:t xml:space="preserve">Proposed interventions: </w:t>
            </w:r>
            <w:r w:rsidRPr="397F7B31">
              <w:rPr>
                <w:rFonts w:eastAsiaTheme="minorEastAsia"/>
              </w:rPr>
              <w:t>As per identified and verified need.</w:t>
            </w:r>
          </w:p>
        </w:tc>
      </w:tr>
      <w:tr w:rsidR="00C34109" w:rsidRPr="00DC6E18" w14:paraId="44DC0295" w14:textId="77777777" w:rsidTr="397F7B31">
        <w:trPr>
          <w:trHeight w:val="570"/>
          <w:jc w:val="center"/>
        </w:trPr>
        <w:tc>
          <w:tcPr>
            <w:tcW w:w="9105" w:type="dxa"/>
            <w:tcBorders>
              <w:top w:val="single" w:sz="8" w:space="0" w:color="auto"/>
              <w:left w:val="single" w:sz="8" w:space="0" w:color="auto"/>
              <w:bottom w:val="single" w:sz="8" w:space="0" w:color="auto"/>
              <w:right w:val="single" w:sz="8" w:space="0" w:color="auto"/>
            </w:tcBorders>
          </w:tcPr>
          <w:p w14:paraId="35958A00" w14:textId="77777777" w:rsidR="00C34109" w:rsidRPr="00DC6E18" w:rsidRDefault="00C34109" w:rsidP="00E7453D">
            <w:pPr>
              <w:spacing w:after="120"/>
              <w:rPr>
                <w:rFonts w:eastAsiaTheme="minorEastAsia"/>
              </w:rPr>
            </w:pPr>
            <w:r w:rsidRPr="00DC6E18">
              <w:rPr>
                <w:rFonts w:eastAsiaTheme="minorEastAsia"/>
                <w:b/>
                <w:bCs/>
              </w:rPr>
              <w:t>Proposed timeline:</w:t>
            </w:r>
            <w:r w:rsidRPr="00DC6E18">
              <w:rPr>
                <w:rFonts w:eastAsiaTheme="minorEastAsia"/>
              </w:rPr>
              <w:t xml:space="preserve"> As per distribution order (DO)specifications</w:t>
            </w:r>
          </w:p>
        </w:tc>
      </w:tr>
      <w:tr w:rsidR="00C34109" w:rsidRPr="00DC6E18" w14:paraId="2CA53DD8" w14:textId="77777777" w:rsidTr="397F7B31">
        <w:trPr>
          <w:jc w:val="center"/>
        </w:trPr>
        <w:tc>
          <w:tcPr>
            <w:tcW w:w="9105" w:type="dxa"/>
            <w:tcBorders>
              <w:top w:val="single" w:sz="8" w:space="0" w:color="auto"/>
              <w:left w:val="single" w:sz="8" w:space="0" w:color="auto"/>
              <w:bottom w:val="single" w:sz="8" w:space="0" w:color="auto"/>
              <w:right w:val="single" w:sz="8" w:space="0" w:color="auto"/>
            </w:tcBorders>
          </w:tcPr>
          <w:p w14:paraId="475BED23" w14:textId="13D12007" w:rsidR="00C34109" w:rsidRPr="00DC6E18" w:rsidRDefault="00C34109" w:rsidP="397F7B31">
            <w:pPr>
              <w:spacing w:after="120"/>
              <w:rPr>
                <w:rFonts w:eastAsiaTheme="minorEastAsia"/>
              </w:rPr>
            </w:pPr>
            <w:r w:rsidRPr="397F7B31">
              <w:rPr>
                <w:rFonts w:eastAsiaTheme="minorEastAsia"/>
                <w:b/>
                <w:bCs/>
              </w:rPr>
              <w:t xml:space="preserve">Partnerships and collaboration: </w:t>
            </w:r>
            <w:r w:rsidRPr="397F7B31">
              <w:rPr>
                <w:rFonts w:eastAsiaTheme="minorEastAsia"/>
              </w:rPr>
              <w:t>The partners must be an active and participating partner of the SNFI cluster, and must</w:t>
            </w:r>
            <w:r w:rsidR="00001F5D" w:rsidRPr="397F7B31">
              <w:rPr>
                <w:rFonts w:eastAsiaTheme="minorEastAsia"/>
              </w:rPr>
              <w:t xml:space="preserve"> have an established an operational footprint in the identified location</w:t>
            </w:r>
          </w:p>
        </w:tc>
      </w:tr>
      <w:tr w:rsidR="00C34109" w:rsidRPr="00DC6E18" w14:paraId="3D2C216F" w14:textId="77777777" w:rsidTr="397F7B31">
        <w:trPr>
          <w:jc w:val="center"/>
        </w:trPr>
        <w:tc>
          <w:tcPr>
            <w:tcW w:w="9105" w:type="dxa"/>
            <w:tcBorders>
              <w:top w:val="single" w:sz="8" w:space="0" w:color="auto"/>
              <w:left w:val="single" w:sz="8" w:space="0" w:color="auto"/>
              <w:bottom w:val="single" w:sz="8" w:space="0" w:color="auto"/>
              <w:right w:val="single" w:sz="8" w:space="0" w:color="auto"/>
            </w:tcBorders>
          </w:tcPr>
          <w:p w14:paraId="5A42510C" w14:textId="77777777" w:rsidR="00C34109" w:rsidRPr="00DC6E18" w:rsidRDefault="00C34109" w:rsidP="00E7453D">
            <w:pPr>
              <w:spacing w:after="120"/>
              <w:rPr>
                <w:rFonts w:eastAsiaTheme="minorEastAsia"/>
                <w:b/>
                <w:bCs/>
              </w:rPr>
            </w:pPr>
            <w:r w:rsidRPr="00DC6E18">
              <w:rPr>
                <w:rFonts w:eastAsiaTheme="minorEastAsia"/>
                <w:b/>
                <w:bCs/>
              </w:rPr>
              <w:t>Qualification and experience</w:t>
            </w:r>
          </w:p>
        </w:tc>
      </w:tr>
      <w:tr w:rsidR="00C34109" w:rsidRPr="00DC6E18" w14:paraId="6B9FF592" w14:textId="77777777" w:rsidTr="397F7B31">
        <w:trPr>
          <w:trHeight w:val="600"/>
          <w:jc w:val="center"/>
        </w:trPr>
        <w:tc>
          <w:tcPr>
            <w:tcW w:w="9105" w:type="dxa"/>
            <w:tcBorders>
              <w:top w:val="single" w:sz="8" w:space="0" w:color="auto"/>
              <w:left w:val="single" w:sz="8" w:space="0" w:color="auto"/>
              <w:bottom w:val="single" w:sz="8" w:space="0" w:color="auto"/>
              <w:right w:val="single" w:sz="8" w:space="0" w:color="auto"/>
            </w:tcBorders>
          </w:tcPr>
          <w:p w14:paraId="610B84A0" w14:textId="77777777" w:rsidR="00C34109" w:rsidRPr="00DC6E18" w:rsidRDefault="00C34109" w:rsidP="00E7453D">
            <w:pPr>
              <w:tabs>
                <w:tab w:val="left" w:pos="820"/>
              </w:tabs>
              <w:spacing w:after="120"/>
              <w:rPr>
                <w:rFonts w:eastAsiaTheme="minorEastAsia"/>
                <w:color w:val="000000" w:themeColor="text1"/>
              </w:rPr>
            </w:pPr>
          </w:p>
          <w:p w14:paraId="11EBDE25" w14:textId="77777777" w:rsidR="00C34109" w:rsidRPr="00DC6E18" w:rsidRDefault="00C34109" w:rsidP="74BB1721">
            <w:pPr>
              <w:pStyle w:val="ListParagraph"/>
              <w:numPr>
                <w:ilvl w:val="0"/>
                <w:numId w:val="2"/>
              </w:numPr>
              <w:tabs>
                <w:tab w:val="left" w:pos="820"/>
              </w:tabs>
              <w:spacing w:after="120"/>
              <w:rPr>
                <w:rFonts w:eastAsiaTheme="minorEastAsia"/>
                <w:color w:val="000000" w:themeColor="text1"/>
              </w:rPr>
            </w:pPr>
            <w:r w:rsidRPr="00DC6E18">
              <w:rPr>
                <w:rFonts w:eastAsiaTheme="minorEastAsia"/>
                <w:color w:val="000000" w:themeColor="text1"/>
              </w:rPr>
              <w:t>Shelter Cluster Membership</w:t>
            </w:r>
            <w:r w:rsidRPr="00DC6E18">
              <w:br/>
            </w:r>
            <w:r w:rsidRPr="00DC6E18">
              <w:rPr>
                <w:rFonts w:eastAsiaTheme="minorEastAsia"/>
                <w:color w:val="000000" w:themeColor="text1"/>
              </w:rPr>
              <w:t xml:space="preserve">If your organization is not currently a member of the Shelter Cluster, it is recommended that you register with the cluster </w:t>
            </w:r>
            <w:proofErr w:type="gramStart"/>
            <w:r w:rsidRPr="00DC6E18">
              <w:rPr>
                <w:rFonts w:eastAsiaTheme="minorEastAsia"/>
                <w:color w:val="000000" w:themeColor="text1"/>
              </w:rPr>
              <w:t>in order to</w:t>
            </w:r>
            <w:proofErr w:type="gramEnd"/>
            <w:r w:rsidRPr="00DC6E18">
              <w:rPr>
                <w:rFonts w:eastAsiaTheme="minorEastAsia"/>
                <w:color w:val="000000" w:themeColor="text1"/>
              </w:rPr>
              <w:t xml:space="preserve"> proceed with your application.</w:t>
            </w:r>
          </w:p>
          <w:p w14:paraId="20B5FA20" w14:textId="77777777" w:rsidR="00C34109" w:rsidRPr="00DC6E18" w:rsidRDefault="00C34109" w:rsidP="74BB1721">
            <w:pPr>
              <w:pStyle w:val="ListParagraph"/>
              <w:numPr>
                <w:ilvl w:val="0"/>
                <w:numId w:val="2"/>
              </w:numPr>
              <w:tabs>
                <w:tab w:val="left" w:pos="820"/>
              </w:tabs>
              <w:spacing w:after="120" w:line="240" w:lineRule="auto"/>
              <w:rPr>
                <w:rFonts w:eastAsiaTheme="minorEastAsia"/>
                <w:color w:val="000000" w:themeColor="text1"/>
              </w:rPr>
            </w:pPr>
            <w:r w:rsidRPr="00DC6E18">
              <w:rPr>
                <w:rFonts w:eastAsia="Calibri" w:cs="Calibri"/>
                <w:color w:val="000000" w:themeColor="text1"/>
              </w:rPr>
              <w:t xml:space="preserve">Minimum of proven 5 years’ experience in implementing SNFI projects in an emergency </w:t>
            </w:r>
            <w:proofErr w:type="gramStart"/>
            <w:r w:rsidRPr="00DC6E18">
              <w:rPr>
                <w:rFonts w:eastAsia="Calibri" w:cs="Calibri"/>
                <w:color w:val="000000" w:themeColor="text1"/>
              </w:rPr>
              <w:t>settings</w:t>
            </w:r>
            <w:proofErr w:type="gramEnd"/>
            <w:r w:rsidRPr="00DC6E18">
              <w:rPr>
                <w:rFonts w:eastAsia="Calibri" w:cs="Calibri"/>
                <w:color w:val="000000" w:themeColor="text1"/>
              </w:rPr>
              <w:t>.</w:t>
            </w:r>
          </w:p>
          <w:p w14:paraId="00495873" w14:textId="77777777" w:rsidR="00C34109" w:rsidRPr="00DC6E18" w:rsidRDefault="00C34109" w:rsidP="00E7453D">
            <w:pPr>
              <w:pStyle w:val="ListParagraph"/>
              <w:numPr>
                <w:ilvl w:val="0"/>
                <w:numId w:val="2"/>
              </w:numPr>
              <w:spacing w:after="120" w:line="240" w:lineRule="auto"/>
              <w:rPr>
                <w:rFonts w:eastAsiaTheme="minorEastAsia"/>
                <w:color w:val="000000" w:themeColor="text1"/>
              </w:rPr>
            </w:pPr>
            <w:r w:rsidRPr="00DC6E18">
              <w:rPr>
                <w:rFonts w:eastAsia="Calibri" w:cs="Calibri"/>
                <w:color w:val="000000" w:themeColor="text1"/>
              </w:rPr>
              <w:t xml:space="preserve">Experience in partnering with IOM or another UN agency in Somalia will be an added advantage </w:t>
            </w:r>
            <w:r w:rsidRPr="00DC6E18">
              <w:rPr>
                <w:rFonts w:eastAsia="Calibri" w:cs="Calibri"/>
                <w:i/>
                <w:iCs/>
                <w:color w:val="000000" w:themeColor="text1"/>
              </w:rPr>
              <w:t>(proof of partnership is to be added to the supporting documents for verification)</w:t>
            </w:r>
          </w:p>
          <w:p w14:paraId="6E4C5844" w14:textId="3DFDD15B" w:rsidR="000136A9" w:rsidRPr="00934903" w:rsidRDefault="00C34109" w:rsidP="00934903">
            <w:pPr>
              <w:pStyle w:val="ListParagraph"/>
              <w:numPr>
                <w:ilvl w:val="0"/>
                <w:numId w:val="2"/>
              </w:numPr>
              <w:spacing w:after="120" w:line="257" w:lineRule="auto"/>
              <w:rPr>
                <w:rFonts w:eastAsiaTheme="minorEastAsia"/>
              </w:rPr>
            </w:pPr>
            <w:r w:rsidRPr="397F7B31">
              <w:rPr>
                <w:rFonts w:eastAsia="Calibri" w:cs="Calibri"/>
                <w:color w:val="000000" w:themeColor="text1"/>
              </w:rPr>
              <w:t xml:space="preserve">Expertise and experience in the delivery of in-kind distribution </w:t>
            </w:r>
          </w:p>
          <w:p w14:paraId="332E04E4" w14:textId="77777777" w:rsidR="00C34109" w:rsidRDefault="00C34109" w:rsidP="00934903">
            <w:pPr>
              <w:pStyle w:val="ListParagraph"/>
              <w:numPr>
                <w:ilvl w:val="0"/>
                <w:numId w:val="2"/>
              </w:numPr>
              <w:spacing w:after="120" w:line="257" w:lineRule="auto"/>
              <w:rPr>
                <w:rFonts w:eastAsia="Calibri" w:cs="Calibri"/>
              </w:rPr>
            </w:pPr>
            <w:r w:rsidRPr="397F7B31">
              <w:rPr>
                <w:rFonts w:eastAsia="Calibri" w:cs="Calibri"/>
                <w:color w:val="000000" w:themeColor="text1"/>
              </w:rPr>
              <w:t xml:space="preserve"> </w:t>
            </w:r>
            <w:r w:rsidRPr="397F7B31">
              <w:rPr>
                <w:rFonts w:eastAsia="Calibri" w:cs="Calibri"/>
              </w:rPr>
              <w:t xml:space="preserve"> </w:t>
            </w:r>
            <w:r w:rsidR="000136A9" w:rsidRPr="397F7B31">
              <w:rPr>
                <w:rFonts w:eastAsia="Calibri" w:cs="Calibri"/>
              </w:rPr>
              <w:t>Proven operational footprint and registration at the designated location where IP wishes to apply.</w:t>
            </w:r>
          </w:p>
          <w:p w14:paraId="18D2D772" w14:textId="25758176" w:rsidR="00934903" w:rsidRPr="00934903" w:rsidRDefault="00934903" w:rsidP="00934903">
            <w:pPr>
              <w:spacing w:after="120" w:line="257" w:lineRule="auto"/>
              <w:rPr>
                <w:rFonts w:eastAsia="Calibri" w:cs="Calibri"/>
              </w:rPr>
            </w:pPr>
          </w:p>
        </w:tc>
      </w:tr>
      <w:tr w:rsidR="00C34109" w:rsidRPr="00DC6E18" w14:paraId="07CA9C63" w14:textId="77777777" w:rsidTr="397F7B31">
        <w:trPr>
          <w:jc w:val="center"/>
        </w:trPr>
        <w:tc>
          <w:tcPr>
            <w:tcW w:w="9105" w:type="dxa"/>
            <w:tcBorders>
              <w:top w:val="single" w:sz="8" w:space="0" w:color="auto"/>
              <w:left w:val="single" w:sz="8" w:space="0" w:color="auto"/>
              <w:bottom w:val="single" w:sz="8" w:space="0" w:color="auto"/>
              <w:right w:val="single" w:sz="8" w:space="0" w:color="auto"/>
            </w:tcBorders>
          </w:tcPr>
          <w:p w14:paraId="729CE358" w14:textId="77777777" w:rsidR="00C34109" w:rsidRPr="00DC6E18" w:rsidRDefault="00C34109" w:rsidP="00E7453D">
            <w:pPr>
              <w:tabs>
                <w:tab w:val="left" w:pos="820"/>
              </w:tabs>
              <w:spacing w:after="120"/>
              <w:rPr>
                <w:rFonts w:eastAsiaTheme="minorEastAsia"/>
                <w:b/>
                <w:bCs/>
              </w:rPr>
            </w:pPr>
            <w:r w:rsidRPr="00DC6E18">
              <w:rPr>
                <w:rFonts w:eastAsiaTheme="minorEastAsia"/>
                <w:b/>
                <w:bCs/>
              </w:rPr>
              <w:lastRenderedPageBreak/>
              <w:t>Presence and Access</w:t>
            </w:r>
          </w:p>
        </w:tc>
      </w:tr>
      <w:tr w:rsidR="00C34109" w:rsidRPr="00DC6E18" w14:paraId="1F989A0A" w14:textId="77777777" w:rsidTr="397F7B31">
        <w:trPr>
          <w:trHeight w:val="525"/>
          <w:jc w:val="center"/>
        </w:trPr>
        <w:tc>
          <w:tcPr>
            <w:tcW w:w="9105" w:type="dxa"/>
            <w:tcBorders>
              <w:top w:val="single" w:sz="8" w:space="0" w:color="auto"/>
              <w:left w:val="single" w:sz="8" w:space="0" w:color="auto"/>
              <w:bottom w:val="single" w:sz="8" w:space="0" w:color="auto"/>
              <w:right w:val="single" w:sz="8" w:space="0" w:color="auto"/>
            </w:tcBorders>
          </w:tcPr>
          <w:p w14:paraId="02DE275C" w14:textId="77777777" w:rsidR="00C34109" w:rsidRPr="00DC6E18" w:rsidRDefault="00C34109" w:rsidP="397F7B31">
            <w:pPr>
              <w:spacing w:after="120"/>
              <w:rPr>
                <w:rFonts w:eastAsiaTheme="minorEastAsia"/>
              </w:rPr>
            </w:pPr>
            <w:r w:rsidRPr="397F7B31">
              <w:rPr>
                <w:rFonts w:eastAsiaTheme="minorEastAsia"/>
              </w:rPr>
              <w:t xml:space="preserve">Partner to fill and submit this online form indicating their presence </w:t>
            </w:r>
            <w:r w:rsidRPr="397F7B31">
              <w:rPr>
                <w:rFonts w:eastAsiaTheme="minorEastAsia"/>
                <w:i/>
                <w:iCs/>
              </w:rPr>
              <w:t>(only the most relevance presence as this will be crosschecked with the SNFI and CCCM cluster data)</w:t>
            </w:r>
          </w:p>
        </w:tc>
      </w:tr>
      <w:tr w:rsidR="00C34109" w:rsidRPr="00DC6E18" w14:paraId="6A5CBFB0" w14:textId="77777777" w:rsidTr="397F7B31">
        <w:trPr>
          <w:jc w:val="center"/>
        </w:trPr>
        <w:tc>
          <w:tcPr>
            <w:tcW w:w="9105" w:type="dxa"/>
            <w:tcBorders>
              <w:top w:val="single" w:sz="8" w:space="0" w:color="auto"/>
              <w:left w:val="single" w:sz="8" w:space="0" w:color="auto"/>
              <w:bottom w:val="single" w:sz="8" w:space="0" w:color="auto"/>
              <w:right w:val="single" w:sz="8" w:space="0" w:color="auto"/>
            </w:tcBorders>
          </w:tcPr>
          <w:p w14:paraId="3C5A2C28" w14:textId="77777777" w:rsidR="00C34109" w:rsidRPr="00DC6E18" w:rsidRDefault="00C34109" w:rsidP="00E7453D">
            <w:pPr>
              <w:spacing w:after="120"/>
              <w:jc w:val="both"/>
              <w:rPr>
                <w:rFonts w:eastAsiaTheme="minorEastAsia"/>
                <w:b/>
                <w:bCs/>
              </w:rPr>
            </w:pPr>
            <w:r w:rsidRPr="00DC6E18">
              <w:rPr>
                <w:rFonts w:eastAsiaTheme="minorEastAsia"/>
                <w:b/>
                <w:bCs/>
              </w:rPr>
              <w:t xml:space="preserve">Place and deadline for submission of the project </w:t>
            </w:r>
          </w:p>
        </w:tc>
      </w:tr>
      <w:tr w:rsidR="00C34109" w:rsidRPr="00DC6E18" w14:paraId="4D87CE6B" w14:textId="77777777" w:rsidTr="397F7B31">
        <w:trPr>
          <w:trHeight w:val="690"/>
          <w:jc w:val="center"/>
        </w:trPr>
        <w:tc>
          <w:tcPr>
            <w:tcW w:w="9105" w:type="dxa"/>
            <w:tcBorders>
              <w:top w:val="single" w:sz="8" w:space="0" w:color="auto"/>
              <w:left w:val="single" w:sz="8" w:space="0" w:color="auto"/>
              <w:bottom w:val="single" w:sz="8" w:space="0" w:color="auto"/>
              <w:right w:val="single" w:sz="8" w:space="0" w:color="auto"/>
            </w:tcBorders>
          </w:tcPr>
          <w:p w14:paraId="1E88BBEA" w14:textId="77777777" w:rsidR="00C1355D" w:rsidRPr="00C1355D" w:rsidRDefault="00C1355D" w:rsidP="397F7B31">
            <w:pPr>
              <w:spacing w:after="120"/>
              <w:rPr>
                <w:rFonts w:eastAsiaTheme="minorEastAsia"/>
              </w:rPr>
            </w:pPr>
            <w:r w:rsidRPr="397F7B31">
              <w:rPr>
                <w:rFonts w:eastAsiaTheme="minorEastAsia"/>
              </w:rPr>
              <w:t>1.</w:t>
            </w:r>
            <w:r>
              <w:tab/>
            </w:r>
            <w:r w:rsidRPr="397F7B31">
              <w:rPr>
                <w:rFonts w:eastAsiaTheme="minorEastAsia"/>
              </w:rPr>
              <w:t>The Application must be submitted through mail to IOM [insert email address] no later than [insert date and time of deadline of submission]. Late Application will not be considered.</w:t>
            </w:r>
          </w:p>
          <w:p w14:paraId="4B7844A4" w14:textId="2F96E02E" w:rsidR="00C34109" w:rsidRPr="00DC6E18" w:rsidRDefault="00C1355D" w:rsidP="00E7453D">
            <w:pPr>
              <w:spacing w:after="120"/>
              <w:jc w:val="both"/>
              <w:rPr>
                <w:rFonts w:eastAsia="Calibri" w:cs="Calibri"/>
                <w:color w:val="000000" w:themeColor="text1"/>
              </w:rPr>
            </w:pPr>
            <w:r w:rsidRPr="397F7B31">
              <w:rPr>
                <w:rFonts w:eastAsiaTheme="minorEastAsia"/>
              </w:rPr>
              <w:t>2.</w:t>
            </w:r>
            <w:r w:rsidR="00C34109">
              <w:tab/>
            </w:r>
            <w:r w:rsidRPr="397F7B31">
              <w:rPr>
                <w:rFonts w:eastAsiaTheme="minorEastAsia"/>
              </w:rPr>
              <w:t xml:space="preserve">The Application must be submitted in the English language and in the format prescribed by IOM within the CEI. All required information must be provided, responding clearly and concisely to all the points set out. Any application which does not fully and comprehensively address this CEI requirements will be rejected. </w:t>
            </w:r>
            <w:r w:rsidR="00C34109" w:rsidRPr="397F7B31">
              <w:rPr>
                <w:rFonts w:eastAsia="Calibri" w:cs="Calibri"/>
                <w:color w:val="000000" w:themeColor="text1"/>
              </w:rPr>
              <w:t>All related questions or clarifications must also be addressed to the above email addresses.</w:t>
            </w:r>
          </w:p>
          <w:p w14:paraId="5FEE217E" w14:textId="79D635DE" w:rsidR="00C34109" w:rsidRPr="00DC6E18" w:rsidRDefault="00C34109" w:rsidP="00E7453D">
            <w:pPr>
              <w:spacing w:after="120"/>
              <w:jc w:val="both"/>
              <w:rPr>
                <w:rFonts w:eastAsia="Calibri" w:cs="Calibri"/>
              </w:rPr>
            </w:pPr>
            <w:r w:rsidRPr="00DC6E18">
              <w:rPr>
                <w:rFonts w:eastAsia="Calibri" w:cs="Calibri"/>
                <w:color w:val="000000" w:themeColor="text1"/>
              </w:rPr>
              <w:t xml:space="preserve">Submissions subject should be clear enough and written in this Format Only </w:t>
            </w:r>
            <w:r w:rsidRPr="00DC6E18">
              <w:rPr>
                <w:rFonts w:eastAsia="Calibri" w:cs="Calibri"/>
                <w:color w:val="000000" w:themeColor="text1"/>
                <w:highlight w:val="yellow"/>
              </w:rPr>
              <w:t xml:space="preserve">SNFI Common </w:t>
            </w:r>
            <w:proofErr w:type="spellStart"/>
            <w:r w:rsidRPr="00DC6E18">
              <w:rPr>
                <w:rFonts w:eastAsia="Calibri" w:cs="Calibri"/>
                <w:color w:val="000000" w:themeColor="text1"/>
                <w:highlight w:val="yellow"/>
              </w:rPr>
              <w:t>Pipeline_EoI_Date</w:t>
            </w:r>
            <w:proofErr w:type="spellEnd"/>
            <w:r w:rsidR="00934903">
              <w:rPr>
                <w:rFonts w:eastAsia="Calibri" w:cs="Calibri"/>
                <w:color w:val="000000" w:themeColor="text1"/>
                <w:highlight w:val="yellow"/>
              </w:rPr>
              <w:t xml:space="preserve"> </w:t>
            </w:r>
            <w:r w:rsidRPr="00DC6E18">
              <w:rPr>
                <w:rFonts w:eastAsia="Calibri" w:cs="Calibri"/>
                <w:color w:val="000000" w:themeColor="text1"/>
                <w:highlight w:val="yellow"/>
              </w:rPr>
              <w:t>(DD/MM/YY)</w:t>
            </w:r>
          </w:p>
        </w:tc>
      </w:tr>
    </w:tbl>
    <w:p w14:paraId="6E06AB12" w14:textId="77777777" w:rsidR="00A0118B" w:rsidRPr="00DC6E18" w:rsidRDefault="00A0118B"/>
    <w:sectPr w:rsidR="00A0118B" w:rsidRPr="00DC6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BE663"/>
    <w:multiLevelType w:val="hybridMultilevel"/>
    <w:tmpl w:val="63202074"/>
    <w:lvl w:ilvl="0" w:tplc="5C0804B0">
      <w:start w:val="1"/>
      <w:numFmt w:val="bullet"/>
      <w:lvlText w:val="·"/>
      <w:lvlJc w:val="left"/>
      <w:pPr>
        <w:ind w:left="360" w:hanging="360"/>
      </w:pPr>
      <w:rPr>
        <w:rFonts w:ascii="Symbol" w:hAnsi="Symbol" w:hint="default"/>
      </w:rPr>
    </w:lvl>
    <w:lvl w:ilvl="1" w:tplc="4D9A7094">
      <w:start w:val="1"/>
      <w:numFmt w:val="bullet"/>
      <w:lvlText w:val="o"/>
      <w:lvlJc w:val="left"/>
      <w:pPr>
        <w:ind w:left="1080" w:hanging="360"/>
      </w:pPr>
      <w:rPr>
        <w:rFonts w:ascii="Courier New" w:hAnsi="Courier New" w:hint="default"/>
      </w:rPr>
    </w:lvl>
    <w:lvl w:ilvl="2" w:tplc="64E2A400">
      <w:start w:val="1"/>
      <w:numFmt w:val="bullet"/>
      <w:lvlText w:val=""/>
      <w:lvlJc w:val="left"/>
      <w:pPr>
        <w:ind w:left="1800" w:hanging="360"/>
      </w:pPr>
      <w:rPr>
        <w:rFonts w:ascii="Wingdings" w:hAnsi="Wingdings" w:hint="default"/>
      </w:rPr>
    </w:lvl>
    <w:lvl w:ilvl="3" w:tplc="12B2736A">
      <w:start w:val="1"/>
      <w:numFmt w:val="bullet"/>
      <w:lvlText w:val=""/>
      <w:lvlJc w:val="left"/>
      <w:pPr>
        <w:ind w:left="2520" w:hanging="360"/>
      </w:pPr>
      <w:rPr>
        <w:rFonts w:ascii="Symbol" w:hAnsi="Symbol" w:hint="default"/>
      </w:rPr>
    </w:lvl>
    <w:lvl w:ilvl="4" w:tplc="071ACF00">
      <w:start w:val="1"/>
      <w:numFmt w:val="bullet"/>
      <w:lvlText w:val="o"/>
      <w:lvlJc w:val="left"/>
      <w:pPr>
        <w:ind w:left="3240" w:hanging="360"/>
      </w:pPr>
      <w:rPr>
        <w:rFonts w:ascii="Courier New" w:hAnsi="Courier New" w:hint="default"/>
      </w:rPr>
    </w:lvl>
    <w:lvl w:ilvl="5" w:tplc="DFBCBAF6">
      <w:start w:val="1"/>
      <w:numFmt w:val="bullet"/>
      <w:lvlText w:val=""/>
      <w:lvlJc w:val="left"/>
      <w:pPr>
        <w:ind w:left="3960" w:hanging="360"/>
      </w:pPr>
      <w:rPr>
        <w:rFonts w:ascii="Wingdings" w:hAnsi="Wingdings" w:hint="default"/>
      </w:rPr>
    </w:lvl>
    <w:lvl w:ilvl="6" w:tplc="EE48C2F2">
      <w:start w:val="1"/>
      <w:numFmt w:val="bullet"/>
      <w:lvlText w:val=""/>
      <w:lvlJc w:val="left"/>
      <w:pPr>
        <w:ind w:left="4680" w:hanging="360"/>
      </w:pPr>
      <w:rPr>
        <w:rFonts w:ascii="Symbol" w:hAnsi="Symbol" w:hint="default"/>
      </w:rPr>
    </w:lvl>
    <w:lvl w:ilvl="7" w:tplc="6FA0D6AA">
      <w:start w:val="1"/>
      <w:numFmt w:val="bullet"/>
      <w:lvlText w:val="o"/>
      <w:lvlJc w:val="left"/>
      <w:pPr>
        <w:ind w:left="5400" w:hanging="360"/>
      </w:pPr>
      <w:rPr>
        <w:rFonts w:ascii="Courier New" w:hAnsi="Courier New" w:hint="default"/>
      </w:rPr>
    </w:lvl>
    <w:lvl w:ilvl="8" w:tplc="E3D62E60">
      <w:start w:val="1"/>
      <w:numFmt w:val="bullet"/>
      <w:lvlText w:val=""/>
      <w:lvlJc w:val="left"/>
      <w:pPr>
        <w:ind w:left="6120" w:hanging="360"/>
      </w:pPr>
      <w:rPr>
        <w:rFonts w:ascii="Wingdings" w:hAnsi="Wingdings" w:hint="default"/>
      </w:rPr>
    </w:lvl>
  </w:abstractNum>
  <w:abstractNum w:abstractNumId="1" w15:restartNumberingAfterBreak="0">
    <w:nsid w:val="3DB20730"/>
    <w:multiLevelType w:val="hybridMultilevel"/>
    <w:tmpl w:val="F876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5FC093"/>
    <w:multiLevelType w:val="hybridMultilevel"/>
    <w:tmpl w:val="E90278B0"/>
    <w:lvl w:ilvl="0" w:tplc="908EFB5C">
      <w:start w:val="1"/>
      <w:numFmt w:val="bullet"/>
      <w:lvlText w:val=""/>
      <w:lvlJc w:val="left"/>
      <w:pPr>
        <w:ind w:left="720" w:hanging="360"/>
      </w:pPr>
      <w:rPr>
        <w:rFonts w:ascii="Symbol" w:hAnsi="Symbol" w:hint="default"/>
      </w:rPr>
    </w:lvl>
    <w:lvl w:ilvl="1" w:tplc="A43C21C0">
      <w:start w:val="1"/>
      <w:numFmt w:val="bullet"/>
      <w:lvlText w:val="o"/>
      <w:lvlJc w:val="left"/>
      <w:pPr>
        <w:ind w:left="1440" w:hanging="360"/>
      </w:pPr>
      <w:rPr>
        <w:rFonts w:ascii="Courier New" w:hAnsi="Courier New" w:hint="default"/>
      </w:rPr>
    </w:lvl>
    <w:lvl w:ilvl="2" w:tplc="20C6D202">
      <w:start w:val="1"/>
      <w:numFmt w:val="bullet"/>
      <w:lvlText w:val=""/>
      <w:lvlJc w:val="left"/>
      <w:pPr>
        <w:ind w:left="2160" w:hanging="360"/>
      </w:pPr>
      <w:rPr>
        <w:rFonts w:ascii="Wingdings" w:hAnsi="Wingdings" w:hint="default"/>
      </w:rPr>
    </w:lvl>
    <w:lvl w:ilvl="3" w:tplc="47C6D9C2">
      <w:start w:val="1"/>
      <w:numFmt w:val="bullet"/>
      <w:lvlText w:val=""/>
      <w:lvlJc w:val="left"/>
      <w:pPr>
        <w:ind w:left="2880" w:hanging="360"/>
      </w:pPr>
      <w:rPr>
        <w:rFonts w:ascii="Symbol" w:hAnsi="Symbol" w:hint="default"/>
      </w:rPr>
    </w:lvl>
    <w:lvl w:ilvl="4" w:tplc="69C8A640">
      <w:start w:val="1"/>
      <w:numFmt w:val="bullet"/>
      <w:lvlText w:val="o"/>
      <w:lvlJc w:val="left"/>
      <w:pPr>
        <w:ind w:left="3600" w:hanging="360"/>
      </w:pPr>
      <w:rPr>
        <w:rFonts w:ascii="Courier New" w:hAnsi="Courier New" w:hint="default"/>
      </w:rPr>
    </w:lvl>
    <w:lvl w:ilvl="5" w:tplc="904AF8DC">
      <w:start w:val="1"/>
      <w:numFmt w:val="bullet"/>
      <w:lvlText w:val=""/>
      <w:lvlJc w:val="left"/>
      <w:pPr>
        <w:ind w:left="4320" w:hanging="360"/>
      </w:pPr>
      <w:rPr>
        <w:rFonts w:ascii="Wingdings" w:hAnsi="Wingdings" w:hint="default"/>
      </w:rPr>
    </w:lvl>
    <w:lvl w:ilvl="6" w:tplc="B708399A">
      <w:start w:val="1"/>
      <w:numFmt w:val="bullet"/>
      <w:lvlText w:val=""/>
      <w:lvlJc w:val="left"/>
      <w:pPr>
        <w:ind w:left="5040" w:hanging="360"/>
      </w:pPr>
      <w:rPr>
        <w:rFonts w:ascii="Symbol" w:hAnsi="Symbol" w:hint="default"/>
      </w:rPr>
    </w:lvl>
    <w:lvl w:ilvl="7" w:tplc="287C60A6">
      <w:start w:val="1"/>
      <w:numFmt w:val="bullet"/>
      <w:lvlText w:val="o"/>
      <w:lvlJc w:val="left"/>
      <w:pPr>
        <w:ind w:left="5760" w:hanging="360"/>
      </w:pPr>
      <w:rPr>
        <w:rFonts w:ascii="Courier New" w:hAnsi="Courier New" w:hint="default"/>
      </w:rPr>
    </w:lvl>
    <w:lvl w:ilvl="8" w:tplc="30523FAE">
      <w:start w:val="1"/>
      <w:numFmt w:val="bullet"/>
      <w:lvlText w:val=""/>
      <w:lvlJc w:val="left"/>
      <w:pPr>
        <w:ind w:left="6480" w:hanging="360"/>
      </w:pPr>
      <w:rPr>
        <w:rFonts w:ascii="Wingdings" w:hAnsi="Wingdings" w:hint="default"/>
      </w:rPr>
    </w:lvl>
  </w:abstractNum>
  <w:num w:numId="1" w16cid:durableId="1891189998">
    <w:abstractNumId w:val="2"/>
  </w:num>
  <w:num w:numId="2" w16cid:durableId="2063748867">
    <w:abstractNumId w:val="0"/>
  </w:num>
  <w:num w:numId="3" w16cid:durableId="1639610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09"/>
    <w:rsid w:val="00001F5D"/>
    <w:rsid w:val="000136A9"/>
    <w:rsid w:val="002F6347"/>
    <w:rsid w:val="00344116"/>
    <w:rsid w:val="005033A5"/>
    <w:rsid w:val="005B3606"/>
    <w:rsid w:val="005C0186"/>
    <w:rsid w:val="00673061"/>
    <w:rsid w:val="00700063"/>
    <w:rsid w:val="00934903"/>
    <w:rsid w:val="009E0ED7"/>
    <w:rsid w:val="00A0118B"/>
    <w:rsid w:val="00A403FE"/>
    <w:rsid w:val="00AB4D40"/>
    <w:rsid w:val="00B40DC0"/>
    <w:rsid w:val="00BD0CAC"/>
    <w:rsid w:val="00C1355D"/>
    <w:rsid w:val="00C34109"/>
    <w:rsid w:val="00C37556"/>
    <w:rsid w:val="00C670C2"/>
    <w:rsid w:val="00D11CEA"/>
    <w:rsid w:val="00DC6E18"/>
    <w:rsid w:val="00E41272"/>
    <w:rsid w:val="00E7453D"/>
    <w:rsid w:val="00FE4C95"/>
    <w:rsid w:val="397F7B31"/>
    <w:rsid w:val="74BB17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434F"/>
  <w15:chartTrackingRefBased/>
  <w15:docId w15:val="{298C0C7D-39DD-4212-A072-EFF4F5D9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109"/>
    <w:pPr>
      <w:widowControl w:val="0"/>
      <w:spacing w:after="200" w:line="276" w:lineRule="auto"/>
    </w:pPr>
    <w:rPr>
      <w:kern w:val="0"/>
      <w14:ligatures w14:val="none"/>
    </w:rPr>
  </w:style>
  <w:style w:type="paragraph" w:styleId="Heading1">
    <w:name w:val="heading 1"/>
    <w:basedOn w:val="Normal"/>
    <w:next w:val="Normal"/>
    <w:link w:val="Heading1Char"/>
    <w:uiPriority w:val="9"/>
    <w:qFormat/>
    <w:rsid w:val="00C34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1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1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1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1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109"/>
    <w:rPr>
      <w:rFonts w:eastAsiaTheme="majorEastAsia" w:cstheme="majorBidi"/>
      <w:color w:val="272727" w:themeColor="text1" w:themeTint="D8"/>
    </w:rPr>
  </w:style>
  <w:style w:type="paragraph" w:styleId="Title">
    <w:name w:val="Title"/>
    <w:basedOn w:val="Normal"/>
    <w:next w:val="Normal"/>
    <w:link w:val="TitleChar"/>
    <w:uiPriority w:val="10"/>
    <w:qFormat/>
    <w:rsid w:val="00C34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1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109"/>
    <w:pPr>
      <w:spacing w:before="160"/>
      <w:jc w:val="center"/>
    </w:pPr>
    <w:rPr>
      <w:i/>
      <w:iCs/>
      <w:color w:val="404040" w:themeColor="text1" w:themeTint="BF"/>
    </w:rPr>
  </w:style>
  <w:style w:type="character" w:customStyle="1" w:styleId="QuoteChar">
    <w:name w:val="Quote Char"/>
    <w:basedOn w:val="DefaultParagraphFont"/>
    <w:link w:val="Quote"/>
    <w:uiPriority w:val="29"/>
    <w:rsid w:val="00C34109"/>
    <w:rPr>
      <w:i/>
      <w:iCs/>
      <w:color w:val="404040" w:themeColor="text1" w:themeTint="BF"/>
    </w:rPr>
  </w:style>
  <w:style w:type="paragraph" w:styleId="ListParagraph">
    <w:name w:val="List Paragraph"/>
    <w:basedOn w:val="Normal"/>
    <w:uiPriority w:val="34"/>
    <w:qFormat/>
    <w:rsid w:val="00C34109"/>
    <w:pPr>
      <w:ind w:left="720"/>
      <w:contextualSpacing/>
    </w:pPr>
  </w:style>
  <w:style w:type="character" w:styleId="IntenseEmphasis">
    <w:name w:val="Intense Emphasis"/>
    <w:basedOn w:val="DefaultParagraphFont"/>
    <w:uiPriority w:val="21"/>
    <w:qFormat/>
    <w:rsid w:val="00C34109"/>
    <w:rPr>
      <w:i/>
      <w:iCs/>
      <w:color w:val="0F4761" w:themeColor="accent1" w:themeShade="BF"/>
    </w:rPr>
  </w:style>
  <w:style w:type="paragraph" w:styleId="IntenseQuote">
    <w:name w:val="Intense Quote"/>
    <w:basedOn w:val="Normal"/>
    <w:next w:val="Normal"/>
    <w:link w:val="IntenseQuoteChar"/>
    <w:uiPriority w:val="30"/>
    <w:qFormat/>
    <w:rsid w:val="00C34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109"/>
    <w:rPr>
      <w:i/>
      <w:iCs/>
      <w:color w:val="0F4761" w:themeColor="accent1" w:themeShade="BF"/>
    </w:rPr>
  </w:style>
  <w:style w:type="character" w:styleId="IntenseReference">
    <w:name w:val="Intense Reference"/>
    <w:basedOn w:val="DefaultParagraphFont"/>
    <w:uiPriority w:val="32"/>
    <w:qFormat/>
    <w:rsid w:val="00C34109"/>
    <w:rPr>
      <w:b/>
      <w:bCs/>
      <w:smallCaps/>
      <w:color w:val="0F4761" w:themeColor="accent1" w:themeShade="BF"/>
      <w:spacing w:val="5"/>
    </w:rPr>
  </w:style>
  <w:style w:type="paragraph" w:styleId="CommentText">
    <w:name w:val="annotation text"/>
    <w:basedOn w:val="Normal"/>
    <w:link w:val="CommentTextChar"/>
    <w:uiPriority w:val="99"/>
    <w:unhideWhenUsed/>
    <w:rsid w:val="00C34109"/>
    <w:pPr>
      <w:spacing w:line="240" w:lineRule="auto"/>
    </w:pPr>
    <w:rPr>
      <w:sz w:val="20"/>
      <w:szCs w:val="20"/>
    </w:rPr>
  </w:style>
  <w:style w:type="character" w:customStyle="1" w:styleId="CommentTextChar">
    <w:name w:val="Comment Text Char"/>
    <w:basedOn w:val="DefaultParagraphFont"/>
    <w:link w:val="CommentText"/>
    <w:uiPriority w:val="99"/>
    <w:rsid w:val="00C34109"/>
    <w:rPr>
      <w:kern w:val="0"/>
      <w:sz w:val="20"/>
      <w:szCs w:val="20"/>
      <w14:ligatures w14:val="none"/>
    </w:rPr>
  </w:style>
  <w:style w:type="character" w:styleId="CommentReference">
    <w:name w:val="annotation reference"/>
    <w:basedOn w:val="DefaultParagraphFont"/>
    <w:uiPriority w:val="99"/>
    <w:semiHidden/>
    <w:unhideWhenUsed/>
    <w:rsid w:val="00C34109"/>
    <w:rPr>
      <w:sz w:val="16"/>
      <w:szCs w:val="16"/>
    </w:rPr>
  </w:style>
  <w:style w:type="table" w:styleId="TableGrid">
    <w:name w:val="Table Grid"/>
    <w:basedOn w:val="TableNormal"/>
    <w:uiPriority w:val="59"/>
    <w:rsid w:val="00C34109"/>
    <w:pPr>
      <w:widowControl w:val="0"/>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C34109"/>
    <w:rPr>
      <w:b/>
      <w:bCs/>
    </w:rPr>
  </w:style>
  <w:style w:type="character" w:customStyle="1" w:styleId="CommentSubjectChar">
    <w:name w:val="Comment Subject Char"/>
    <w:basedOn w:val="CommentTextChar"/>
    <w:link w:val="CommentSubject"/>
    <w:uiPriority w:val="99"/>
    <w:semiHidden/>
    <w:rsid w:val="00C34109"/>
    <w:rPr>
      <w:b/>
      <w:bCs/>
      <w:kern w:val="0"/>
      <w:sz w:val="20"/>
      <w:szCs w:val="20"/>
      <w14:ligatures w14:val="none"/>
    </w:rPr>
  </w:style>
  <w:style w:type="paragraph" w:styleId="Revision">
    <w:name w:val="Revision"/>
    <w:hidden/>
    <w:uiPriority w:val="99"/>
    <w:semiHidden/>
    <w:rsid w:val="00AB4D4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7DB5F08130B4A87775EE67C2AE2BD" ma:contentTypeVersion="18" ma:contentTypeDescription="Create a new document." ma:contentTypeScope="" ma:versionID="7cca2c32927e7526da14ce4e0a238c1f">
  <xsd:schema xmlns:xsd="http://www.w3.org/2001/XMLSchema" xmlns:xs="http://www.w3.org/2001/XMLSchema" xmlns:p="http://schemas.microsoft.com/office/2006/metadata/properties" xmlns:ns2="35755ebd-f885-4cb4-b725-cdfa91d90164" xmlns:ns3="a5a80461-8c6b-49c6-8a2c-f455b7667df6" targetNamespace="http://schemas.microsoft.com/office/2006/metadata/properties" ma:root="true" ma:fieldsID="d2d22b34afac53af5b1ed5ade2d3b01f" ns2:_="" ns3:_="">
    <xsd:import namespace="35755ebd-f885-4cb4-b725-cdfa91d90164"/>
    <xsd:import namespace="a5a80461-8c6b-49c6-8a2c-f455b7667d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55ebd-f885-4cb4-b725-cdfa91d90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80461-8c6b-49c6-8a2c-f455b7667d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e5ab26-c815-4fd3-b1ca-12e8fa214afc}" ma:internalName="TaxCatchAll" ma:showField="CatchAllData" ma:web="a5a80461-8c6b-49c6-8a2c-f455b7667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a80461-8c6b-49c6-8a2c-f455b7667df6" xsi:nil="true"/>
    <lcf76f155ced4ddcb4097134ff3c332f xmlns="35755ebd-f885-4cb4-b725-cdfa91d901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20469-02CB-4569-BB9D-54C32BE5B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55ebd-f885-4cb4-b725-cdfa91d90164"/>
    <ds:schemaRef ds:uri="a5a80461-8c6b-49c6-8a2c-f455b7667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F055F-833E-40C2-8DBE-DEACFECBF3BA}">
  <ds:schemaRefs>
    <ds:schemaRef ds:uri="http://schemas.microsoft.com/office/2006/metadata/properties"/>
    <ds:schemaRef ds:uri="http://schemas.microsoft.com/office/infopath/2007/PartnerControls"/>
    <ds:schemaRef ds:uri="a5a80461-8c6b-49c6-8a2c-f455b7667df6"/>
    <ds:schemaRef ds:uri="35755ebd-f885-4cb4-b725-cdfa91d90164"/>
  </ds:schemaRefs>
</ds:datastoreItem>
</file>

<file path=customXml/itemProps3.xml><?xml version="1.0" encoding="utf-8"?>
<ds:datastoreItem xmlns:ds="http://schemas.openxmlformats.org/officeDocument/2006/customXml" ds:itemID="{5AA3F92B-125D-47DE-A240-D94A04623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 Kamil</dc:creator>
  <cp:keywords/>
  <dc:description/>
  <cp:lastModifiedBy>ALSAYED MHD Gefar</cp:lastModifiedBy>
  <cp:revision>17</cp:revision>
  <dcterms:created xsi:type="dcterms:W3CDTF">2024-10-04T07:18:00Z</dcterms:created>
  <dcterms:modified xsi:type="dcterms:W3CDTF">2024-11-06T21:02:00Z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2024-10-04T07:18:58Z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781c50cc-901b-466d-9840-b1ac4800f629</vt:lpwstr>
  </property>
  <property fmtid="{D5CDD505-2E9C-101B-9397-08002B2CF9AE}" pid="8" name="MSIP_Label_2059aa38-f392-4105-be92-628035578272_ContentBits">
    <vt:lpwstr>0</vt:lpwstr>
  </property>
  <property fmtid="{D5CDD505-2E9C-101B-9397-08002B2CF9AE}" pid="9" name="ContentTypeId">
    <vt:lpwstr>0x010100A847DB5F08130B4A87775EE67C2AE2BD</vt:lpwstr>
  </property>
  <property fmtid="{D5CDD505-2E9C-101B-9397-08002B2CF9AE}" pid="10" name="MediaServiceImageTags">
    <vt:lpwstr/>
  </property>
</Properties>
</file>